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ARSPC, Alice Springs, Australia, 13- 17 September 2010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COMBINING STATISTICAL AND NEURAL CLASSIFIERS USING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DEMPSTER-SHAFER THEORY OF EVIDENCE FOR IMPROVED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BUILDING DETECTION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John Trinder, Mahmoud Salah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School of Surveying and Spatial Information Systems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University of New South Wales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UNSW SYDNEY NSW 2052, Australia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(j.trinder, m.gomah)@unsw.edu.au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Phone +61 2 938 54197, Fax +61 2 9313 7493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Ahmed Shaker, Mahmoud Hamed, Ali Elsagheer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Dept. of Surveying, Faculty of Engineering Shoubra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Benha University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108 Shoubra Street, Cairo, Egypt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ahmshaker@link.net, prof.mahmoudhamed@ yahoo.com,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alielsagheer@yahoo.com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Phone +2 2 2201 3257, Fax +2 2 2201 3257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Abstract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This paper describes an approach for building detection from multispectral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aerial images and lidar data by combining the results derived from statistical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neural network classifiers, which offer complementary information, based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 Dempster-Shafer Theory of Evidence. Four study areas with different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sensors and scene characteristics were used. First, we filtered the lidar point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clouds to generate a Digital Terrain Model (DTM), and then the Digital Surface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Model (DSM) and the Normalised Digital Surface Model (nDSM) were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generated. After that a total of 25 uncorrelated feature attributes have been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generated from the aerial images, the lidar intensity image, DSM and nDSM.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Then, three different classification algorithms were used to detect buildings from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aerial images, lidar data and the generated attributes. The classifiers used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include: Self-Organizing Map (SOM); Classification Trees (CTs); and Support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Vector Machines (SVMs). The Dempster-Shafer theory of evidence was then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applied for combining measures of evidence from the three classifiers. A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considerable amount of the misclassified building pixels were recovered by the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combination process.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Introduction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Research on building detection from aerial images and lidar data fusion has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been undertaken so that the strengths of each data type can compensate for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weaknesses of the other. Low contrast, occlusions and shadow effects in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images can be compensated by the accurately defined planes in the lidar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data. On the other hand, the poorly defined edges in the lidar data can be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compensated by the accurately defined edges in the aerial images. Matikainen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et al. (2007) applied the Gini splitting criterion for CT for building detection from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aerial images and lidar data. Rottensteiner et al. (2007) evaluated the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Dempster-Shafer based fusion of multispectral aerial images and lidar data for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building detection. Salah et al. (2009) tested the Self-Organizing Map (SOM) for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building detection from aerial images and lidar data.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Kanellopoulos et al. (1997) have demonstrated the complementary behaviours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neural and statistical algorithms in terms of classification errors. The efficient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combination of such classifiers, should achieve better classification results than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any single classifier, even results obtained with the best classifier used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individually. In the simplest implementation of the hybrid concept, predictions of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different classifiers were averaged (Breiman, 1996). Many other methods have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also been used to combine classifiers, such as Bagging (Breiman, 1996) and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Boosting (Freund and Schapire, 1997). Applications of majority voting (MV) for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pattern recognition have already been studied in detail in Lam and Suen (1997).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Another technique which is widely studied in classical classifier fusion but less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addressed in remote sensing is Dempster-Shafer (</w:t>
      </w:r>
      <w:r>
        <w:rPr>
          <w:rFonts w:ascii="Arial-ItalicMT" w:hAnsi="Arial-ItalicMT" w:cs="Arial-ItalicMT"/>
          <w:i/>
          <w:iCs/>
          <w:sz w:val="24"/>
          <w:szCs w:val="24"/>
        </w:rPr>
        <w:t>D-S</w:t>
      </w:r>
      <w:r>
        <w:rPr>
          <w:rFonts w:ascii="ArialMT" w:hAnsi="ArialMT" w:cs="ArialMT"/>
          <w:sz w:val="24"/>
          <w:szCs w:val="24"/>
        </w:rPr>
        <w:t>) theory (Shafer, 1976).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D-S </w:t>
      </w:r>
      <w:r>
        <w:rPr>
          <w:rFonts w:ascii="ArialMT" w:hAnsi="ArialMT" w:cs="ArialMT"/>
          <w:sz w:val="24"/>
          <w:szCs w:val="24"/>
        </w:rPr>
        <w:t>theory has already been investigated in handwriting recognition, in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automatic disambiguation of word senses, in human speech perception but this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is probably the first attempt to use it for combining information derived from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different classifiers for improvement of land cover mapping.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After introducing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D-S </w:t>
      </w:r>
      <w:r>
        <w:rPr>
          <w:rFonts w:ascii="ArialMT" w:hAnsi="ArialMT" w:cs="ArialMT"/>
          <w:sz w:val="24"/>
          <w:szCs w:val="24"/>
        </w:rPr>
        <w:t>theory in the following section, the methods are described,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then the results are presented and evaluated. Finally, the results are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summarised.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Overview of Dempster-Shafer Theory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theory of evidence was introduced by Shafer (1976) as a mathematical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framework for representation and combination of different measures of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evidence. It can be considered as a generalization of the Bayesian framework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permits the characterization of uncertainty and ignorance. In outlining the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Dempster-Shafer theory, we consider a classification problem where the input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data are to be classified into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n </w:t>
      </w:r>
      <w:r>
        <w:rPr>
          <w:rFonts w:ascii="ArialMT" w:hAnsi="ArialMT" w:cs="ArialMT"/>
          <w:sz w:val="24"/>
          <w:szCs w:val="24"/>
        </w:rPr>
        <w:t xml:space="preserve">classes </w:t>
      </w:r>
      <w:r>
        <w:rPr>
          <w:rFonts w:ascii="Arial-ItalicMT" w:hAnsi="Arial-ItalicMT" w:cs="Arial-ItalicMT"/>
          <w:i/>
          <w:iCs/>
          <w:sz w:val="24"/>
          <w:szCs w:val="24"/>
        </w:rPr>
        <w:t>C</w:t>
      </w:r>
      <w:r>
        <w:rPr>
          <w:rFonts w:ascii="Arial-ItalicMT" w:hAnsi="Arial-ItalicMT" w:cs="Arial-ItalicMT"/>
          <w:i/>
          <w:iCs/>
          <w:sz w:val="16"/>
          <w:szCs w:val="16"/>
        </w:rPr>
        <w:t>j</w:t>
      </w:r>
      <w:r>
        <w:rPr>
          <w:rFonts w:ascii="SymbolMT" w:eastAsia="SymbolMT" w:hAnsi="TimesNewRomanPSMT" w:cs="SymbolMT" w:hint="eastAsia"/>
          <w:sz w:val="24"/>
          <w:szCs w:val="24"/>
        </w:rPr>
        <w:t>∈</w:t>
      </w:r>
      <w:r>
        <w:rPr>
          <w:rFonts w:ascii="Calibri" w:hAnsi="Calibri" w:cs="Calibri"/>
          <w:i/>
          <w:iCs/>
          <w:sz w:val="24"/>
          <w:szCs w:val="24"/>
        </w:rPr>
        <w:t>θ</w:t>
      </w:r>
      <w:r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θ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is referred to as </w:t>
      </w:r>
      <w:r>
        <w:rPr>
          <w:rFonts w:ascii="Arial-ItalicMT" w:hAnsi="Arial-ItalicMT" w:cs="Arial-ItalicMT"/>
          <w:i/>
          <w:iCs/>
          <w:sz w:val="24"/>
          <w:szCs w:val="24"/>
        </w:rPr>
        <w:t>the frame of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discernment</w:t>
      </w:r>
      <w:r>
        <w:rPr>
          <w:rFonts w:ascii="ArialMT" w:hAnsi="ArialMT" w:cs="ArialMT"/>
          <w:sz w:val="24"/>
          <w:szCs w:val="24"/>
        </w:rPr>
        <w:t xml:space="preserve">. The power set of </w:t>
      </w:r>
      <w:r>
        <w:rPr>
          <w:rFonts w:ascii="Calibri" w:hAnsi="Calibri" w:cs="Calibri"/>
          <w:i/>
          <w:iCs/>
          <w:sz w:val="24"/>
          <w:szCs w:val="24"/>
        </w:rPr>
        <w:t>θ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is denoted by </w:t>
      </w:r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r>
        <w:rPr>
          <w:rFonts w:ascii="Calibri" w:hAnsi="Calibri" w:cs="Calibri"/>
          <w:i/>
          <w:iCs/>
          <w:sz w:val="16"/>
          <w:szCs w:val="16"/>
        </w:rPr>
        <w:t>θ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i.e. the set of all subsets of </w:t>
      </w:r>
      <w:r>
        <w:rPr>
          <w:rFonts w:ascii="Calibri" w:hAnsi="Calibri" w:cs="Calibri"/>
          <w:i/>
          <w:iCs/>
          <w:sz w:val="24"/>
          <w:szCs w:val="24"/>
        </w:rPr>
        <w:t>θ</w:t>
      </w:r>
      <w:r>
        <w:rPr>
          <w:rFonts w:ascii="ArialMT" w:hAnsi="ArialMT" w:cs="ArialMT"/>
          <w:sz w:val="24"/>
          <w:szCs w:val="24"/>
        </w:rPr>
        <w:t>.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probability mass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m (A) </w:t>
      </w:r>
      <w:r>
        <w:rPr>
          <w:rFonts w:ascii="ArialMT" w:hAnsi="ArialMT" w:cs="ArialMT"/>
          <w:sz w:val="24"/>
          <w:szCs w:val="24"/>
        </w:rPr>
        <w:t xml:space="preserve">is assigned to every class </w:t>
      </w:r>
      <w:r>
        <w:rPr>
          <w:rFonts w:ascii="Arial-ItalicMT" w:hAnsi="Arial-ItalicMT" w:cs="Arial-ItalicMT"/>
          <w:i/>
          <w:iCs/>
          <w:sz w:val="24"/>
          <w:szCs w:val="24"/>
        </w:rPr>
        <w:t>A</w:t>
      </w:r>
      <w:r>
        <w:rPr>
          <w:rFonts w:ascii="SymbolMT" w:eastAsia="SymbolMT" w:hAnsi="TimesNewRomanPSMT" w:cs="SymbolMT" w:hint="eastAsia"/>
          <w:sz w:val="24"/>
          <w:szCs w:val="24"/>
        </w:rPr>
        <w:t>∈</w:t>
      </w:r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r>
        <w:rPr>
          <w:rFonts w:ascii="Calibri" w:hAnsi="Calibri" w:cs="Calibri"/>
          <w:i/>
          <w:iCs/>
          <w:sz w:val="16"/>
          <w:szCs w:val="16"/>
        </w:rPr>
        <w:t>θ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by a classifier such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that </w:t>
      </w:r>
      <w:r>
        <w:rPr>
          <w:rFonts w:ascii="Arial-ItalicMT" w:hAnsi="Arial-ItalicMT" w:cs="Arial-ItalicMT"/>
          <w:i/>
          <w:iCs/>
          <w:sz w:val="24"/>
          <w:szCs w:val="24"/>
        </w:rPr>
        <w:t>m (Ø) = 0</w:t>
      </w:r>
      <w:r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0 </w:t>
      </w:r>
      <w:r>
        <w:rPr>
          <w:rFonts w:ascii="Arial" w:hAnsi="Arial" w:cs="Arial"/>
          <w:i/>
          <w:iCs/>
          <w:sz w:val="24"/>
          <w:szCs w:val="24"/>
        </w:rPr>
        <w:t>≤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m (A) </w:t>
      </w:r>
      <w:r>
        <w:rPr>
          <w:rFonts w:ascii="Arial" w:hAnsi="Arial" w:cs="Arial"/>
          <w:i/>
          <w:iCs/>
          <w:sz w:val="24"/>
          <w:szCs w:val="24"/>
        </w:rPr>
        <w:t>≤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1</w:t>
      </w:r>
      <w:r>
        <w:rPr>
          <w:rFonts w:ascii="ArialMT" w:hAnsi="ArialMT" w:cs="ArialMT"/>
          <w:sz w:val="24"/>
          <w:szCs w:val="24"/>
        </w:rPr>
        <w:t xml:space="preserve">, and </w:t>
      </w:r>
      <w:r>
        <w:rPr>
          <w:rFonts w:ascii="Calibri" w:hAnsi="Calibri" w:cs="Calibri"/>
          <w:i/>
          <w:iCs/>
          <w:sz w:val="24"/>
          <w:szCs w:val="24"/>
        </w:rPr>
        <w:t>Σ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m (A) =1</w:t>
      </w:r>
      <w:r>
        <w:rPr>
          <w:rFonts w:ascii="ArialMT" w:hAnsi="ArialMT" w:cs="ArialMT"/>
          <w:sz w:val="24"/>
          <w:szCs w:val="24"/>
        </w:rPr>
        <w:t>, where the sum is to be taken over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all </w:t>
      </w:r>
      <w:r>
        <w:rPr>
          <w:rFonts w:ascii="Arial-ItalicMT" w:hAnsi="Arial-ItalicMT" w:cs="Arial-ItalicMT"/>
          <w:i/>
          <w:iCs/>
          <w:sz w:val="24"/>
          <w:szCs w:val="24"/>
        </w:rPr>
        <w:t>A</w:t>
      </w:r>
      <w:r>
        <w:rPr>
          <w:rFonts w:ascii="SymbolMT" w:eastAsia="SymbolMT" w:hAnsi="TimesNewRomanPSMT" w:cs="SymbolMT" w:hint="eastAsia"/>
          <w:sz w:val="24"/>
          <w:szCs w:val="24"/>
        </w:rPr>
        <w:t>∈</w:t>
      </w:r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r>
        <w:rPr>
          <w:rFonts w:ascii="Calibri" w:hAnsi="Calibri" w:cs="Calibri"/>
          <w:i/>
          <w:iCs/>
          <w:sz w:val="16"/>
          <w:szCs w:val="16"/>
        </w:rPr>
        <w:t>θ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and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Ø </w:t>
      </w:r>
      <w:r>
        <w:rPr>
          <w:rFonts w:ascii="ArialMT" w:hAnsi="ArialMT" w:cs="ArialMT"/>
          <w:sz w:val="24"/>
          <w:szCs w:val="24"/>
        </w:rPr>
        <w:t xml:space="preserve">denotes the empty set.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m (A) </w:t>
      </w:r>
      <w:r>
        <w:rPr>
          <w:rFonts w:ascii="ArialMT" w:hAnsi="ArialMT" w:cs="ArialMT"/>
          <w:sz w:val="24"/>
          <w:szCs w:val="24"/>
        </w:rPr>
        <w:t>can be interpreted as the amount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of belief that is assigned exactly to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A </w:t>
      </w:r>
      <w:r>
        <w:rPr>
          <w:rFonts w:ascii="ArialMT" w:hAnsi="ArialMT" w:cs="ArialMT"/>
          <w:sz w:val="24"/>
          <w:szCs w:val="24"/>
        </w:rPr>
        <w:t>and not to any of its subsets. Imprecision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knowledge can be handled by assigning a non-zero probability mass to the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union of two or more classes </w:t>
      </w:r>
      <w:r>
        <w:rPr>
          <w:rFonts w:ascii="Arial-ItalicMT" w:hAnsi="Arial-ItalicMT" w:cs="Arial-ItalicMT"/>
          <w:i/>
          <w:iCs/>
          <w:sz w:val="24"/>
          <w:szCs w:val="24"/>
        </w:rPr>
        <w:t>C</w:t>
      </w:r>
      <w:r>
        <w:rPr>
          <w:rFonts w:ascii="Arial-ItalicMT" w:hAnsi="Arial-ItalicMT" w:cs="Arial-ItalicMT"/>
          <w:i/>
          <w:iCs/>
          <w:sz w:val="16"/>
          <w:szCs w:val="16"/>
        </w:rPr>
        <w:t>j</w:t>
      </w:r>
      <w:r>
        <w:rPr>
          <w:rFonts w:ascii="ArialMT" w:hAnsi="ArialMT" w:cs="ArialMT"/>
          <w:sz w:val="24"/>
          <w:szCs w:val="24"/>
        </w:rPr>
        <w:t xml:space="preserve">. The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support Sup (A) </w:t>
      </w:r>
      <w:r>
        <w:rPr>
          <w:rFonts w:ascii="ArialMT" w:hAnsi="ArialMT" w:cs="ArialMT"/>
          <w:sz w:val="24"/>
          <w:szCs w:val="24"/>
        </w:rPr>
        <w:t xml:space="preserve">of a class </w:t>
      </w:r>
      <w:r>
        <w:rPr>
          <w:rFonts w:ascii="Arial-ItalicMT" w:hAnsi="Arial-ItalicMT" w:cs="Arial-ItalicMT"/>
          <w:i/>
          <w:iCs/>
          <w:sz w:val="24"/>
          <w:szCs w:val="24"/>
        </w:rPr>
        <w:t>A</w:t>
      </w:r>
      <w:r>
        <w:rPr>
          <w:rFonts w:ascii="SymbolMT" w:eastAsia="SymbolMT" w:hAnsi="TimesNewRomanPSMT" w:cs="SymbolMT" w:hint="eastAsia"/>
          <w:sz w:val="24"/>
          <w:szCs w:val="24"/>
        </w:rPr>
        <w:t>∈</w:t>
      </w:r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r>
        <w:rPr>
          <w:rFonts w:ascii="Calibri" w:hAnsi="Calibri" w:cs="Calibri"/>
          <w:i/>
          <w:iCs/>
          <w:sz w:val="16"/>
          <w:szCs w:val="16"/>
        </w:rPr>
        <w:t>θ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is the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sum of all masses assigned to that class. The plausibility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Pls (A) </w:t>
      </w:r>
      <w:r>
        <w:rPr>
          <w:rFonts w:ascii="ArialMT" w:hAnsi="ArialMT" w:cs="ArialMT"/>
          <w:sz w:val="24"/>
          <w:szCs w:val="24"/>
        </w:rPr>
        <w:t>sums up all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probability masses not assigned to the complementary hypothesis </w:t>
      </w:r>
      <w:r>
        <w:rPr>
          <w:rFonts w:ascii="Calibri" w:hAnsi="Calibri" w:cs="Calibri"/>
          <w:i/>
          <w:iCs/>
          <w:sz w:val="24"/>
          <w:szCs w:val="24"/>
        </w:rPr>
        <w:t>Ā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of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A </w:t>
      </w:r>
      <w:r>
        <w:rPr>
          <w:rFonts w:ascii="ArialMT" w:hAnsi="ArialMT" w:cs="ArialMT"/>
          <w:sz w:val="24"/>
          <w:szCs w:val="24"/>
        </w:rPr>
        <w:t>with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</w:t>
      </w:r>
      <w:r>
        <w:rPr>
          <w:rFonts w:ascii="SymbolMT" w:eastAsia="SymbolMT" w:hAnsi="TimesNewRomanPSMT" w:cs="SymbolMT" w:hint="eastAsia"/>
          <w:sz w:val="24"/>
          <w:szCs w:val="24"/>
        </w:rPr>
        <w:t>∩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Ā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=Ø </w:t>
      </w:r>
      <w:r>
        <w:rPr>
          <w:rFonts w:ascii="ArialMT" w:hAnsi="ArialMT" w:cs="ArialMT"/>
          <w:sz w:val="24"/>
          <w:szCs w:val="24"/>
        </w:rPr>
        <w:t xml:space="preserve">and </w:t>
      </w:r>
      <w:r>
        <w:rPr>
          <w:rFonts w:ascii="Arial-ItalicMT" w:hAnsi="Arial-ItalicMT" w:cs="Arial-ItalicMT"/>
          <w:i/>
          <w:iCs/>
          <w:sz w:val="24"/>
          <w:szCs w:val="24"/>
        </w:rPr>
        <w:t>A</w:t>
      </w:r>
      <w:r>
        <w:rPr>
          <w:rFonts w:ascii="SymbolMT" w:eastAsia="SymbolMT" w:hAnsi="TimesNewRomanPSMT" w:cs="SymbolMT" w:hint="eastAsia"/>
          <w:sz w:val="24"/>
          <w:szCs w:val="24"/>
        </w:rPr>
        <w:t>∪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Ā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= </w:t>
      </w:r>
      <w:r>
        <w:rPr>
          <w:rFonts w:ascii="Calibri" w:hAnsi="Calibri" w:cs="Calibri"/>
          <w:i/>
          <w:iCs/>
          <w:sz w:val="24"/>
          <w:szCs w:val="24"/>
        </w:rPr>
        <w:t>θ</w:t>
      </w:r>
      <w:r>
        <w:rPr>
          <w:rFonts w:ascii="ArialMT" w:hAnsi="ArialMT" w:cs="ArialMT"/>
          <w:sz w:val="24"/>
          <w:szCs w:val="24"/>
        </w:rPr>
        <w:t>: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 ) ( ); ( ) ( ) 1 ( ) (1)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__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Sup A m B Pls A m B Sup A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>B A A B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sz w:val="24"/>
          <w:szCs w:val="24"/>
        </w:rPr>
      </w:pPr>
      <w:r>
        <w:rPr>
          <w:rFonts w:ascii="SymbolMT" w:eastAsia="SymbolMT" w:hAnsi="TimesNewRomanPSMT" w:cs="SymbolMT"/>
          <w:sz w:val="24"/>
          <w:szCs w:val="24"/>
        </w:rPr>
        <w:t xml:space="preserve">= </w:t>
      </w:r>
      <w:r>
        <w:rPr>
          <w:rFonts w:ascii="SymbolMT" w:eastAsia="SymbolMT" w:hAnsi="TimesNewRomanPSMT" w:cs="SymbolMT" w:hint="eastAsia"/>
          <w:sz w:val="36"/>
          <w:szCs w:val="36"/>
        </w:rPr>
        <w:t>Σ</w:t>
      </w:r>
      <w:r>
        <w:rPr>
          <w:rFonts w:ascii="SymbolMT" w:eastAsia="SymbolMT" w:hAnsi="TimesNewRomanPSMT" w:cs="SymbolMT"/>
          <w:sz w:val="36"/>
          <w:szCs w:val="36"/>
        </w:rPr>
        <w:t xml:space="preserve"> </w:t>
      </w:r>
      <w:r>
        <w:rPr>
          <w:rFonts w:ascii="SymbolMT" w:eastAsia="SymbolMT" w:hAnsi="TimesNewRomanPSMT" w:cs="SymbolMT"/>
          <w:sz w:val="24"/>
          <w:szCs w:val="24"/>
        </w:rPr>
        <w:t xml:space="preserve">= </w:t>
      </w:r>
      <w:r>
        <w:rPr>
          <w:rFonts w:ascii="SymbolMT" w:eastAsia="SymbolMT" w:hAnsi="TimesNewRomanPSMT" w:cs="SymbolMT" w:hint="eastAsia"/>
          <w:sz w:val="36"/>
          <w:szCs w:val="36"/>
        </w:rPr>
        <w:t>Σ</w:t>
      </w:r>
      <w:r>
        <w:rPr>
          <w:rFonts w:ascii="SymbolMT" w:eastAsia="SymbolMT" w:hAnsi="TimesNewRomanPSMT" w:cs="SymbolMT"/>
          <w:sz w:val="36"/>
          <w:szCs w:val="36"/>
        </w:rPr>
        <w:t xml:space="preserve"> </w:t>
      </w:r>
      <w:r>
        <w:rPr>
          <w:rFonts w:ascii="SymbolMT" w:eastAsia="SymbolMT" w:hAnsi="TimesNewRomanPSMT" w:cs="SymbolMT"/>
          <w:sz w:val="24"/>
          <w:szCs w:val="24"/>
        </w:rPr>
        <w:t xml:space="preserve">= </w:t>
      </w:r>
      <w:r>
        <w:rPr>
          <w:rFonts w:ascii="SymbolMT" w:eastAsia="SymbolMT" w:hAnsi="TimesNewRomanPSMT" w:cs="SymbolMT" w:hint="eastAsia"/>
          <w:sz w:val="24"/>
          <w:szCs w:val="24"/>
        </w:rPr>
        <w:t>−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sz w:val="15"/>
          <w:szCs w:val="15"/>
        </w:rPr>
      </w:pPr>
      <w:r>
        <w:rPr>
          <w:rFonts w:ascii="SymbolMT" w:eastAsia="SymbolMT" w:hAnsi="TimesNewRomanPSMT" w:cs="SymbolMT" w:hint="eastAsia"/>
          <w:sz w:val="14"/>
          <w:szCs w:val="14"/>
        </w:rPr>
        <w:t>⊆</w:t>
      </w:r>
      <w:r>
        <w:rPr>
          <w:rFonts w:ascii="SymbolMT" w:eastAsia="SymbolMT" w:hAnsi="TimesNewRomanPSMT" w:cs="SymbolMT"/>
          <w:sz w:val="14"/>
          <w:szCs w:val="14"/>
        </w:rPr>
        <w:t xml:space="preserve"> </w:t>
      </w:r>
      <w:r>
        <w:rPr>
          <w:rFonts w:ascii="SymbolMT" w:eastAsia="SymbolMT" w:hAnsi="TimesNewRomanPSMT" w:cs="SymbolMT" w:hint="eastAsia"/>
          <w:sz w:val="14"/>
          <w:szCs w:val="14"/>
        </w:rPr>
        <w:t>∩</w:t>
      </w:r>
      <w:r>
        <w:rPr>
          <w:rFonts w:ascii="SymbolMT" w:eastAsia="SymbolMT" w:hAnsi="TimesNewRomanPSMT" w:cs="SymbolMT"/>
          <w:sz w:val="14"/>
          <w:szCs w:val="14"/>
        </w:rPr>
        <w:t xml:space="preserve"> </w:t>
      </w:r>
      <w:r>
        <w:rPr>
          <w:rFonts w:ascii="SymbolMT" w:eastAsia="SymbolMT" w:hAnsi="TimesNewRomanPSMT" w:cs="SymbolMT" w:hint="eastAsia"/>
          <w:sz w:val="14"/>
          <w:szCs w:val="14"/>
        </w:rPr>
        <w:t>≠</w:t>
      </w:r>
      <w:r>
        <w:rPr>
          <w:rFonts w:ascii="SymbolMT" w:eastAsia="SymbolMT" w:hAnsi="TimesNewRomanPSMT" w:cs="SymbolMT" w:hint="eastAsia"/>
          <w:sz w:val="15"/>
          <w:szCs w:val="15"/>
        </w:rPr>
        <w:t>φ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Sup (A) </w:t>
      </w:r>
      <w:r>
        <w:rPr>
          <w:rFonts w:ascii="ArialMT" w:hAnsi="ArialMT" w:cs="ArialMT"/>
          <w:sz w:val="24"/>
          <w:szCs w:val="24"/>
        </w:rPr>
        <w:t xml:space="preserve">is also called </w:t>
      </w:r>
      <w:r>
        <w:rPr>
          <w:rFonts w:ascii="Arial-ItalicMT" w:hAnsi="Arial-ItalicMT" w:cs="Arial-ItalicMT"/>
          <w:i/>
          <w:iCs/>
          <w:sz w:val="24"/>
          <w:szCs w:val="24"/>
        </w:rPr>
        <w:t>dubiety</w:t>
      </w:r>
      <w:r>
        <w:rPr>
          <w:rFonts w:ascii="ArialMT" w:hAnsi="ArialMT" w:cs="ArialMT"/>
          <w:sz w:val="24"/>
          <w:szCs w:val="24"/>
        </w:rPr>
        <w:t>. It represents the degree to which the evidence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contradicts a proposition. If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z </w:t>
      </w:r>
      <w:r>
        <w:rPr>
          <w:rFonts w:ascii="ArialMT" w:hAnsi="ArialMT" w:cs="ArialMT"/>
          <w:sz w:val="24"/>
          <w:szCs w:val="24"/>
        </w:rPr>
        <w:t xml:space="preserve">classes are available, probability masses </w:t>
      </w:r>
      <w:r>
        <w:rPr>
          <w:rFonts w:ascii="Arial-ItalicMT" w:hAnsi="Arial-ItalicMT" w:cs="Arial-ItalicMT"/>
          <w:i/>
          <w:iCs/>
          <w:sz w:val="24"/>
          <w:szCs w:val="24"/>
        </w:rPr>
        <w:t>m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i </w:t>
      </w:r>
      <w:r>
        <w:rPr>
          <w:rFonts w:ascii="Arial-ItalicMT" w:hAnsi="Arial-ItalicMT" w:cs="Arial-ItalicMT"/>
          <w:i/>
          <w:iCs/>
          <w:sz w:val="24"/>
          <w:szCs w:val="24"/>
        </w:rPr>
        <w:t>(B</w:t>
      </w:r>
      <w:r>
        <w:rPr>
          <w:rFonts w:ascii="Arial-ItalicMT" w:hAnsi="Arial-ItalicMT" w:cs="Arial-ItalicMT"/>
          <w:i/>
          <w:iCs/>
          <w:sz w:val="16"/>
          <w:szCs w:val="16"/>
        </w:rPr>
        <w:t>j</w:t>
      </w:r>
      <w:r>
        <w:rPr>
          <w:rFonts w:ascii="Arial-ItalicMT" w:hAnsi="Arial-ItalicMT" w:cs="Arial-ItalicMT"/>
          <w:i/>
          <w:iCs/>
          <w:sz w:val="24"/>
          <w:szCs w:val="24"/>
        </w:rPr>
        <w:t>)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have to be defined for all these classes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i </w:t>
      </w:r>
      <w:r>
        <w:rPr>
          <w:rFonts w:ascii="ArialMT" w:hAnsi="ArialMT" w:cs="ArialMT"/>
          <w:sz w:val="24"/>
          <w:szCs w:val="24"/>
        </w:rPr>
        <w:t xml:space="preserve">with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1 </w:t>
      </w:r>
      <w:r>
        <w:rPr>
          <w:rFonts w:ascii="Arial" w:hAnsi="Arial" w:cs="Arial"/>
          <w:i/>
          <w:iCs/>
          <w:sz w:val="24"/>
          <w:szCs w:val="24"/>
        </w:rPr>
        <w:t>≤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i </w:t>
      </w:r>
      <w:r>
        <w:rPr>
          <w:rFonts w:ascii="Arial" w:hAnsi="Arial" w:cs="Arial"/>
          <w:i/>
          <w:iCs/>
          <w:sz w:val="24"/>
          <w:szCs w:val="24"/>
        </w:rPr>
        <w:t>≤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z </w:t>
      </w:r>
      <w:r>
        <w:rPr>
          <w:rFonts w:ascii="ArialMT" w:hAnsi="ArialMT" w:cs="ArialMT"/>
          <w:sz w:val="24"/>
          <w:szCs w:val="24"/>
        </w:rPr>
        <w:t xml:space="preserve">and </w:t>
      </w:r>
      <w:r>
        <w:rPr>
          <w:rFonts w:ascii="Arial-ItalicMT" w:hAnsi="Arial-ItalicMT" w:cs="Arial-ItalicMT"/>
          <w:i/>
          <w:iCs/>
          <w:sz w:val="24"/>
          <w:szCs w:val="24"/>
        </w:rPr>
        <w:t>B</w:t>
      </w:r>
      <w:r>
        <w:rPr>
          <w:rFonts w:ascii="Arial-ItalicMT" w:hAnsi="Arial-ItalicMT" w:cs="Arial-ItalicMT"/>
          <w:i/>
          <w:iCs/>
          <w:sz w:val="16"/>
          <w:szCs w:val="16"/>
        </w:rPr>
        <w:t>j</w:t>
      </w:r>
      <w:r>
        <w:rPr>
          <w:rFonts w:ascii="SymbolMT" w:eastAsia="SymbolMT" w:hAnsi="TimesNewRomanPSMT" w:cs="SymbolMT" w:hint="eastAsia"/>
          <w:sz w:val="24"/>
          <w:szCs w:val="24"/>
        </w:rPr>
        <w:t>∈</w:t>
      </w:r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r>
        <w:rPr>
          <w:rFonts w:ascii="Calibri" w:hAnsi="Calibri" w:cs="Calibri"/>
          <w:i/>
          <w:iCs/>
          <w:sz w:val="16"/>
          <w:szCs w:val="16"/>
        </w:rPr>
        <w:t>θ</w:t>
      </w:r>
      <w:r>
        <w:rPr>
          <w:rFonts w:ascii="ArialMT" w:hAnsi="ArialMT" w:cs="ArialMT"/>
          <w:sz w:val="24"/>
          <w:szCs w:val="24"/>
        </w:rPr>
        <w:t>. From these</w:t>
      </w:r>
    </w:p>
    <w:p w:rsidR="009563F8" w:rsidRDefault="009563F8" w:rsidP="00956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probability masses, a combined probability mass can be computed for each</w:t>
      </w:r>
    </w:p>
    <w:p w:rsidR="00CA3503" w:rsidRPr="009563F8" w:rsidRDefault="009563F8" w:rsidP="009563F8">
      <w:pPr>
        <w:rPr>
          <w:lang w:val="en-GB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class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A </w:t>
      </w:r>
      <w:r>
        <w:rPr>
          <w:rFonts w:ascii="SymbolMT" w:eastAsia="SymbolMT" w:hAnsi="TimesNewRomanPSMT" w:cs="SymbolMT" w:hint="eastAsia"/>
          <w:sz w:val="24"/>
          <w:szCs w:val="24"/>
        </w:rPr>
        <w:t>∈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r>
        <w:rPr>
          <w:rFonts w:ascii="Calibri" w:hAnsi="Calibri" w:cs="Calibri"/>
          <w:i/>
          <w:iCs/>
          <w:sz w:val="16"/>
          <w:szCs w:val="16"/>
        </w:rPr>
        <w:t>θ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through an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orthogonal summation </w:t>
      </w:r>
      <w:r>
        <w:rPr>
          <w:rFonts w:ascii="ArialMT" w:hAnsi="ArialMT" w:cs="ArialMT"/>
          <w:sz w:val="24"/>
          <w:szCs w:val="24"/>
        </w:rPr>
        <w:t>process as follow:</w:t>
      </w:r>
      <w:bookmarkStart w:id="0" w:name="_GoBack"/>
      <w:bookmarkEnd w:id="0"/>
    </w:p>
    <w:sectPr w:rsidR="00CA3503" w:rsidRPr="0095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F8"/>
    <w:rsid w:val="0034119A"/>
    <w:rsid w:val="009563F8"/>
    <w:rsid w:val="00C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0E0D0-6A63-4B8D-8B8B-B81C03DB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mohamed.freeshah@feng.bu.edu.eg</dc:creator>
  <cp:keywords/>
  <dc:description/>
  <cp:lastModifiedBy>mohamed.freeshah@feng.bu.edu.eg</cp:lastModifiedBy>
  <cp:revision>1</cp:revision>
  <dcterms:created xsi:type="dcterms:W3CDTF">2016-07-30T15:40:00Z</dcterms:created>
  <dcterms:modified xsi:type="dcterms:W3CDTF">2016-07-30T15:41:00Z</dcterms:modified>
</cp:coreProperties>
</file>